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1"/>
        <w:spacing w:before="240" w:after="160"/>
        <w:jc w:val="center"/>
      </w:pPr>
      <w:r>
        <w:rPr>
          <w:rFonts w:ascii="Arial Unicode MS" w:hAnsi="Arial Unicode MS" w:eastAsia="Arial Unicode MS"/>
          <w:b/>
          <w:color w:val="000000"/>
          <w:sz w:val="40"/>
        </w:rPr>
        <w:t>应收款管理制度及考核手册</w:t>
      </w:r>
    </w:p>
    <w:p>
      <w:pPr>
        <w:spacing w:after="40"/>
        <w:jc w:val="center"/>
      </w:pPr>
      <w:r>
        <w:rPr>
          <w:rFonts w:ascii="Arial Unicode MS" w:hAnsi="Arial Unicode MS" w:eastAsia="Arial Unicode MS"/>
          <w:b/>
          <w:color w:val="666666"/>
          <w:sz w:val="22"/>
        </w:rPr>
        <w:t>V1.1 试运行版</w:t>
      </w:r>
    </w:p>
    <w:p>
      <w:pPr>
        <w:spacing w:after="320"/>
        <w:jc w:val="center"/>
      </w:pPr>
      <w:r>
        <w:rPr>
          <w:rFonts w:ascii="Arial Unicode MS" w:hAnsi="Arial Unicode MS" w:eastAsia="Arial Unicode MS"/>
          <w:b w:val="0"/>
          <w:color w:val="666666"/>
          <w:sz w:val="20"/>
        </w:rPr>
        <w:t>2026年9月30日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本手册以“少填、自动算、可追溯”为原则，统一应收款从建档、跟进、协同、到账确认到关闭的管理口径。平台以业主方或付款方为上层主体，同一付款方可以关联多个项目；每个项目可以建立多笔应收事项。员工只录入业务事实，系统自动计算余额、逾期、风险和考核结果。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本版取消复杂权重和角色平均分。员工月度得分从100分起，只对四类经确认的责任事件扣分；客户资金安排、审批进度等外部原因本身不扣分，但必须及时更新、协同和上报。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一 制度目的与适用范围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本制度用于统一公司应收款台账、跟进动作、到账确认、风险处理和责任考核，帮助业务、财务和管理人员使用同一套数据判断回款状态。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适用人员：应收款主负责人、协同人、部门负责人、财务人员、考核管理员和平台管理员。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适用事项：工程款、设备款、服务费、质保金、保证金返还、电费、租金以及经管理员配置的其他收款类型。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平台定位：记录和推动应收款工作，不替代会计核算、合同审批或纪律处分程序。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二 管理原则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187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原则</w:t>
            </w:r>
          </w:p>
        </w:tc>
        <w:tc>
          <w:tcPr>
            <w:tcW w:type="dxa" w:w="748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执行要求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一事一主责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每笔应收事项只能有一名主负责人；协同人只对明确分派并接受的事项负责。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事实一次登记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付款方、项目和应收事项分层保存，禁止为同一付款方的不同项目反复建立付款方档案。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系统自动计算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余额、回款率、逾期天数、风险状态和月度得分由系统根据事实记录生成。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到账由财务确认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业务报告到账不等于正式回款；只有财务确认金额进入实际回款和余额计算。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异常有据复核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调期、免责、申诉和冲正必须有理由、证据、审批人、时间和完整日志。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三 数据结构与字段标准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3.1 四层数据结构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94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层级</w:t>
            </w:r>
          </w:p>
        </w:tc>
        <w:tc>
          <w:tcPr>
            <w:tcW w:type="dxa" w:w="496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说明</w:t>
            </w:r>
          </w:p>
        </w:tc>
        <w:tc>
          <w:tcPr>
            <w:tcW w:type="dxa" w:w="244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示例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业主方或付款方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实际承担付款义务或出具付款安排的主体，是项目的上层归集对象。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四川坤石山</w:t>
            </w:r>
          </w:p>
        </w:tc>
      </w:tr>
      <w:tr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项目</w:t>
            </w:r>
          </w:p>
        </w:tc>
        <w:tc>
          <w:tcPr>
            <w:tcW w:type="dxa" w:w="496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同一付款方下的具体合同、工程或服务事项。</w:t>
            </w:r>
          </w:p>
        </w:tc>
        <w:tc>
          <w:tcPr>
            <w:tcW w:type="dxa" w:w="24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充电站建设项目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应收事项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需要独立跟进金额、计划日期和责任人的一笔应收。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工程进度款第二期</w:t>
            </w:r>
          </w:p>
        </w:tc>
      </w:tr>
      <w:tr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到账记录</w:t>
            </w:r>
          </w:p>
        </w:tc>
        <w:tc>
          <w:tcPr>
            <w:tcW w:type="dxa" w:w="496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业务报告并经财务确认的每一笔实际到账。</w:t>
            </w:r>
          </w:p>
        </w:tc>
        <w:tc>
          <w:tcPr>
            <w:tcW w:type="dxa" w:w="24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2026年9月到账20万元</w:t>
            </w:r>
          </w:p>
        </w:tc>
      </w:tr>
    </w:tbl>
    <w:p>
      <w:pPr>
        <w:spacing w:after="40"/>
      </w:pP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关系规则：一个业主方或付款方可以关联多个项目；一个项目可以有多笔应收事项；一笔应收事项可以有多笔到账记录。平台不得用“项目名称”代替“业主方或付款方名称”。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3.2 新建应收事项必填字段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64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序号</w:t>
            </w:r>
          </w:p>
        </w:tc>
        <w:tc>
          <w:tcPr>
            <w:tcW w:type="dxa" w:w="172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字段</w:t>
            </w:r>
          </w:p>
        </w:tc>
        <w:tc>
          <w:tcPr>
            <w:tcW w:type="dxa" w:w="525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填写口径</w:t>
            </w:r>
          </w:p>
        </w:tc>
        <w:tc>
          <w:tcPr>
            <w:tcW w:type="dxa" w:w="172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责任人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收款主体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我方实际收款公司或主体。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业主方或付款方</w:t>
            </w:r>
          </w:p>
        </w:tc>
        <w:tc>
          <w:tcPr>
            <w:tcW w:type="dxa" w:w="52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以合同、结算或实际付款责任主体为准；优先从已有主体选择。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项目名称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付款方名下的具体项目或事项；必须与付款方建立关联。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收款类型</w:t>
            </w:r>
          </w:p>
        </w:tc>
        <w:tc>
          <w:tcPr>
            <w:tcW w:type="dxa" w:w="52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工程款、设备款、服务费、质保金等标准枚举。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本次应收金额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本笔需要独立跟进的应收金额，不填合同总额。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计划回款日期</w:t>
            </w:r>
          </w:p>
        </w:tc>
        <w:tc>
          <w:tcPr>
            <w:tcW w:type="dxa" w:w="52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当前承诺或合理预计的回款日期。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对本笔应收跟进和更新负最终责任的人。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创建人或部门负责人</w:t>
            </w:r>
          </w:p>
        </w:tc>
      </w:tr>
      <w:tr>
        <w:tc>
          <w:tcPr>
            <w:tcW w:type="dxa" w:w="6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当前进展</w:t>
            </w:r>
          </w:p>
        </w:tc>
        <w:tc>
          <w:tcPr>
            <w:tcW w:type="dxa" w:w="52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填写已发生事实、客户反馈和当前状态。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下次跟进日期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下一次必须执行或复核的日期。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</w:tr>
    </w:tbl>
    <w:p>
      <w:pPr>
        <w:spacing w:after="40"/>
      </w:pP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3.3 条件字段与系统字段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44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类别</w:t>
            </w:r>
          </w:p>
        </w:tc>
        <w:tc>
          <w:tcPr>
            <w:tcW w:type="dxa" w:w="302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字段</w:t>
            </w:r>
          </w:p>
        </w:tc>
        <w:tc>
          <w:tcPr>
            <w:tcW w:type="dxa" w:w="489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使用条件</w:t>
            </w:r>
          </w:p>
        </w:tc>
      </w:tr>
      <w:tr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条件字段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结算金额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已完成结算或存在结算口径时填写；未结算不强制。</w:t>
            </w:r>
          </w:p>
        </w:tc>
      </w:tr>
      <w:tr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条件字段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客户联系人、协同人、附件</w:t>
            </w:r>
          </w:p>
        </w:tc>
        <w:tc>
          <w:tcPr>
            <w:tcW w:type="dxa" w:w="489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需要联系、协同或留证时填写。</w:t>
            </w:r>
          </w:p>
        </w:tc>
      </w:tr>
      <w:tr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条件字段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调期、免责、争议或诉讼信息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发生相应例外情形时填写并提交审批。</w:t>
            </w:r>
          </w:p>
        </w:tc>
      </w:tr>
      <w:tr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系统字段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已确认回款、剩余应收、回款率</w:t>
            </w:r>
          </w:p>
        </w:tc>
        <w:tc>
          <w:tcPr>
            <w:tcW w:type="dxa" w:w="489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根据财务确认的到账记录自动计算。</w:t>
            </w:r>
          </w:p>
        </w:tc>
      </w:tr>
      <w:tr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系统字段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到期状态、逾期天数、风险等级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根据计划日期、更新记录和卡点自动计算。</w:t>
            </w:r>
          </w:p>
        </w:tc>
      </w:tr>
      <w:tr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系统字段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月度扣分、最终得分、版本号</w:t>
            </w:r>
          </w:p>
        </w:tc>
        <w:tc>
          <w:tcPr>
            <w:tcW w:type="dxa" w:w="489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根据经确认事件和当月生效规则自动计算并锁定。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四 角色与权限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65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角色</w:t>
            </w:r>
          </w:p>
        </w:tc>
        <w:tc>
          <w:tcPr>
            <w:tcW w:type="dxa" w:w="468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主要职责</w:t>
            </w:r>
          </w:p>
        </w:tc>
        <w:tc>
          <w:tcPr>
            <w:tcW w:type="dxa" w:w="302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可操作范围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建档、持续更新、跟进付款方、发起协同、上报风险、报告到账并确认业务关闭。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本人主责事项及与之相关的协同、附件和申诉。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协同人</w:t>
            </w:r>
          </w:p>
        </w:tc>
        <w:tc>
          <w:tcPr>
            <w:tcW w:type="dxa" w:w="468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在明确的内容和期限内提交结果；不能完成时提前说明并给出新计划。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本人已接受的协同事项和必要的关联信息。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财务人员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核对实际到账、确认金额和日期、退回异常、补录凭证、发起冲正。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财务待办、到账记录、必要的项目和付款方信息。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部门负责人</w:t>
            </w:r>
          </w:p>
        </w:tc>
        <w:tc>
          <w:tcPr>
            <w:tcW w:type="dxa" w:w="468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分配主负责人、督办逾期事项、审核调期和免责、处理一级申诉。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本部门事项及相关考核依据。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考核管理员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维护规则版本、复核争议、锁定月度结果、导出审计清单。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考核事件、审批记录和锁定结果。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平台管理员</w:t>
            </w:r>
          </w:p>
        </w:tc>
        <w:tc>
          <w:tcPr>
            <w:tcW w:type="dxa" w:w="468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维护基础配置、权限、工作日历、版本和备份，不得无日志改业务事实。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系统配置和审计日志。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五 应收款执行流程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创建事项。优先选择已有业主方或付款方，再选择或新建其项目，填写九项必填字段。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持续跟进。主负责人按下次跟进日期更新事实、下一步动作和下一次跟进日期；系统保留每次更新。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发起协同或上报卡点。需要他人完成具体事项时明确内容、责任人和完成期限；已影响回款时同步标记风险。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报告到账。业务人员填写到账金额、日期和付款单位；该记录进入财务待确认，不立即改变正式余额。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财务确认。财务核对银行流水后确认、部分确认或退回；确认错误必须冲正，不得删除原记录。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业务关闭。剩余应收为零、差额处理完成、卡点与协同清零后，由主负责人确认闭环。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六 时间提醒 协同与风险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平台在下次跟进日、计划回款日前和逾期后生成提醒。员工收到提醒后应更新事实，而不是只修改日期。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协同事项必须写清“谁、完成什么、何时完成、交付标准”。未被明确分派的人员不承担该事项扣分。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发现客户拒付、资料缺失、争议、资金异常或预计不能按期回款时，应在知道风险后及时上报。及时上报本身不扣分。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法定节假日、公司统一长假、系统故障和已批准暂停期间，普通计时暂停；重大风险由管理人员决定是否持续跟踪。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七 财务确认 差额与关闭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187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事项</w:t>
            </w:r>
          </w:p>
        </w:tc>
        <w:tc>
          <w:tcPr>
            <w:tcW w:type="dxa" w:w="748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统一口径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到账确认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仅财务确认金额计入实际回款。业务报告金额只作为待核验信息。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部分到账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系统将财务确认金额累计到已回款，并自动计算剩余应收。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多收或少收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必须明确拆分、待认领、折让、调整或退款路径，未经处理不得关闭。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凭证补录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可以先确认到账再补凭证，但应在公司规定期限内补齐。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冲正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发现确认错误时关联原记录新增冲正，不删除、不覆盖原确认单。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关闭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剩余应收为零，差额、卡点和协同均处理完成，主负责人确认后关闭。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八 月度考核规则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8.1 计算方式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月度得分 = max（0，100 − 当月经确认的扣分合计）。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考核对象是可控制的履职动作，不以实际回款金额直接奖惩个人。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同一事实同时触发多条规则时，只按最重一项扣分，不重复扣分。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普通责任事件对同一应收事项每月累计最多扣10分；重大责任事件不受该上限限制并单独列示。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当月无应履行任务或无经确认扣分事件时，得分为100；没有适用任务的人员标记“本月无适用事项”，不参与排名。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8.2 四类扣分事件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79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代码</w:t>
            </w:r>
          </w:p>
        </w:tc>
        <w:tc>
          <w:tcPr>
            <w:tcW w:type="dxa" w:w="266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责任事件</w:t>
            </w:r>
          </w:p>
        </w:tc>
        <w:tc>
          <w:tcPr>
            <w:tcW w:type="dxa" w:w="144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扣分</w:t>
            </w:r>
          </w:p>
        </w:tc>
        <w:tc>
          <w:tcPr>
            <w:tcW w:type="dxa" w:w="446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认定条件</w:t>
            </w:r>
          </w:p>
        </w:tc>
      </w:tr>
      <w:tr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D1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提醒后仍未更新进展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每项扣2分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提醒有效送达后，超过规定期限仍没有真实进展、下一步动作或下次跟进日期。</w:t>
            </w:r>
          </w:p>
        </w:tc>
      </w:tr>
      <w:tr>
        <w:tc>
          <w:tcPr>
            <w:tcW w:type="dxa" w:w="79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D2</w:t>
            </w:r>
          </w:p>
        </w:tc>
        <w:tc>
          <w:tcPr>
            <w:tcW w:type="dxa" w:w="266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本人责任任务或协同逾期</w:t>
            </w:r>
          </w:p>
        </w:tc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每项扣5分</w:t>
            </w:r>
          </w:p>
        </w:tc>
        <w:tc>
          <w:tcPr>
            <w:tcW w:type="dxa" w:w="446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本人已接受且可控制的任务超过期限，未提前说明、未提交调整或未交付有效结果。</w:t>
            </w:r>
          </w:p>
        </w:tc>
      </w:tr>
      <w:tr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D3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已知风险未上报或未申请调整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每项扣5分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已经知道可能影响回款的风险，却未及时提交卡点、调期或免责申请。</w:t>
            </w:r>
          </w:p>
        </w:tc>
      </w:tr>
      <w:tr>
        <w:tc>
          <w:tcPr>
            <w:tcW w:type="dxa" w:w="79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D4</w:t>
            </w:r>
          </w:p>
        </w:tc>
        <w:tc>
          <w:tcPr>
            <w:tcW w:type="dxa" w:w="266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造假 隐瞒或擅自改期</w:t>
            </w:r>
          </w:p>
        </w:tc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每项扣20分</w:t>
            </w:r>
          </w:p>
        </w:tc>
        <w:tc>
          <w:tcPr>
            <w:tcW w:type="dxa" w:w="446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伪造记录、故意隐瞒重大事实、删除证据或未经审批改变关键期限；同时列为重大责任事件。</w:t>
            </w:r>
          </w:p>
        </w:tc>
      </w:tr>
    </w:tbl>
    <w:p>
      <w:pPr>
        <w:spacing w:after="40"/>
      </w:pP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8.3 不扣分与责任边界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客户资金安排、审批、合同争议等外部原因不直接扣分；员工仍须按时更新、上报、协同和申请调整。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已批准的调期、免责或暂停期间不扣分；系统故障、提醒未送达且可核实的，不得误扣。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主负责人已及时发起协同、催办和升级的，不因协同人失误连带扣分；协同人只对本人明确接受且可控制的事项负责。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8.4 结果分级与试运行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80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月度得分</w:t>
            </w:r>
          </w:p>
        </w:tc>
        <w:tc>
          <w:tcPr>
            <w:tcW w:type="dxa" w:w="180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结果</w:t>
            </w:r>
          </w:p>
        </w:tc>
        <w:tc>
          <w:tcPr>
            <w:tcW w:type="dxa" w:w="576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处理建议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90至100</w:t>
            </w:r>
          </w:p>
        </w:tc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达标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正常记录；可结合经营贡献另行表扬。</w:t>
            </w:r>
          </w:p>
        </w:tc>
      </w:tr>
      <w:tr>
        <w:tc>
          <w:tcPr>
            <w:tcW w:type="dxa" w:w="180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80至89</w:t>
            </w:r>
          </w:p>
        </w:tc>
        <w:tc>
          <w:tcPr>
            <w:tcW w:type="dxa" w:w="180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待改进</w:t>
            </w:r>
          </w:p>
        </w:tc>
        <w:tc>
          <w:tcPr>
            <w:tcW w:type="dxa" w:w="576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部门负责人沟通原因并明确下月改进动作。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低于80</w:t>
            </w:r>
          </w:p>
        </w:tc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重点复核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复核责任事实、系统记录和管理支持，不自动等同纪律处分。</w:t>
            </w:r>
          </w:p>
        </w:tc>
      </w:tr>
    </w:tbl>
    <w:p>
      <w:pPr>
        <w:spacing w:after="40"/>
      </w:pP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试运行前两个月只用于校准字段、提醒和扣分口径，不与薪酬直接挂钩。正式挂钩需经公司书面批准，明确比例、生效日期和申诉渠道。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8.5 计算示例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某员工当月发生1项“提醒后仍未更新”扣2分、1项“已知风险未上报”扣5分；两项事实不同，月度得分为100−2−5＝93分，结果为“达标”。如果两条规则来自同一事实，则只按较重的5分计算。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九 调期 免责 申诉与结果锁定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9.1 调期和免责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调期原则上应在原计划回款日期或任务期限前申请，说明原因、已采取措施、新日期和证明材料。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逾期后补提不得覆盖原日期或原记录；审批结果以新增记录方式保存。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免责须说明不可控原因、影响期间、本人已履行动作、证据和审批人，不能只写“客户原因”或“特殊情况”。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9.2 申诉审批路径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165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步骤</w:t>
            </w:r>
          </w:p>
        </w:tc>
        <w:tc>
          <w:tcPr>
            <w:tcW w:type="dxa" w:w="194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处理人</w:t>
            </w:r>
          </w:p>
        </w:tc>
        <w:tc>
          <w:tcPr>
            <w:tcW w:type="dxa" w:w="424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主要动作</w:t>
            </w:r>
          </w:p>
        </w:tc>
        <w:tc>
          <w:tcPr>
            <w:tcW w:type="dxa" w:w="151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建议时限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1 提交申诉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员工</w:t>
            </w:r>
          </w:p>
        </w:tc>
        <w:tc>
          <w:tcPr>
            <w:tcW w:type="dxa" w:w="42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选择扣分事件，说明事实、请求和证据。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结果公示后3个工作日内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2 一级审核</w:t>
            </w:r>
          </w:p>
        </w:tc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部门负责人</w:t>
            </w:r>
          </w:p>
        </w:tc>
        <w:tc>
          <w:tcPr>
            <w:tcW w:type="dxa" w:w="42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核对责任分工、提醒、更新、协同和证据。</w:t>
            </w:r>
          </w:p>
        </w:tc>
        <w:tc>
          <w:tcPr>
            <w:tcW w:type="dxa" w:w="151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1个工作日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3 专业复核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财务或相关专业人员</w:t>
            </w:r>
          </w:p>
        </w:tc>
        <w:tc>
          <w:tcPr>
            <w:tcW w:type="dxa" w:w="42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仅在涉及到账、金额、系统异常或专业事实时参与。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1至2个工作日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4 结论与锁定</w:t>
            </w:r>
          </w:p>
        </w:tc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考核管理员</w:t>
            </w:r>
          </w:p>
        </w:tc>
        <w:tc>
          <w:tcPr>
            <w:tcW w:type="dxa" w:w="42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形成通过、部分通过或驳回结论，写明理由并锁定结果。</w:t>
            </w:r>
          </w:p>
        </w:tc>
        <w:tc>
          <w:tcPr>
            <w:tcW w:type="dxa" w:w="151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总计原则上5个工作日内</w:t>
            </w:r>
          </w:p>
        </w:tc>
      </w:tr>
    </w:tbl>
    <w:p>
      <w:pPr>
        <w:spacing w:after="40"/>
      </w:pP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申诉期间相关结果标记为“待复核”。任何复核只能新增免责、责任确认、冲正或调整记录，不得删除原始日志。涉及重大责任、薪酬或纪律处理的，应按公司现行制度另行审批。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十 数据权限 审计与版本管理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187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控制项</w:t>
            </w:r>
          </w:p>
        </w:tc>
        <w:tc>
          <w:tcPr>
            <w:tcW w:type="dxa" w:w="748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要求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最小权限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员工只看本人主责或参与事项；部门负责人看本部门；财务只访问履职所需财务数据。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敏感信息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银行账户、合同、联系人和附件按角色授权，不在通知中展示完整敏感内容。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审计日志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创建、更新、分派、确认、冲正、调期、免责、申诉和规则变更必须留痕。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备份恢复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按公司备份策略保存数据库、附件、授权文件和系统配置，并定期验证恢复。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版本一致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平台显示当前规则版本并提供本手册下载；月度结果锁定后不因新规则自动重算。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十一 试运行与验收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72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阶段</w:t>
            </w:r>
          </w:p>
        </w:tc>
        <w:tc>
          <w:tcPr>
            <w:tcW w:type="dxa" w:w="439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重点任务</w:t>
            </w:r>
          </w:p>
        </w:tc>
        <w:tc>
          <w:tcPr>
            <w:tcW w:type="dxa" w:w="324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验收标准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第1个月</w:t>
            </w:r>
          </w:p>
        </w:tc>
        <w:tc>
          <w:tcPr>
            <w:tcW w:type="dxa" w:w="43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建立付款方、项目和应收事项；验证九项必填字段。</w:t>
            </w:r>
          </w:p>
        </w:tc>
        <w:tc>
          <w:tcPr>
            <w:tcW w:type="dxa" w:w="32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能按付款方汇总多个项目，余额和逾期计算正确。</w:t>
            </w:r>
          </w:p>
        </w:tc>
      </w:tr>
      <w:tr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第2个月</w:t>
            </w:r>
          </w:p>
        </w:tc>
        <w:tc>
          <w:tcPr>
            <w:tcW w:type="dxa" w:w="439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校准提醒、协同、调期、免责和四类扣分。</w:t>
            </w:r>
          </w:p>
        </w:tc>
        <w:tc>
          <w:tcPr>
            <w:tcW w:type="dxa" w:w="32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系统事件与人工抽查一致，无重复扣分或误扣。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正式运行前</w:t>
            </w:r>
          </w:p>
        </w:tc>
        <w:tc>
          <w:tcPr>
            <w:tcW w:type="dxa" w:w="43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完成财务、业务、管理层联合评审。</w:t>
            </w:r>
          </w:p>
        </w:tc>
        <w:tc>
          <w:tcPr>
            <w:tcW w:type="dxa" w:w="32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规则版本、权限、备份、申诉和月度锁定均可追溯。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附录一 月末审核清单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付款方、项目和应收事项关系是否正确，是否存在重复主体。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本月财务确认的到账记录、部分回款、差额和冲正是否完整。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四类扣分事件是否有提醒、责任、时限和证据，是否存在同一事实重复扣分。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调期、免责、暂停和系统异常是否已从自动扣分中排除。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主负责人已及时协同和升级时，是否避免不当连带扣分。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申诉是否在规定时限内办结，结论和调整记录是否完整。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月度结果是否引用正确规则版本，并在复核后锁定。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附录二 平台最低验收口径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194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模块</w:t>
            </w:r>
          </w:p>
        </w:tc>
        <w:tc>
          <w:tcPr>
            <w:tcW w:type="dxa" w:w="741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必须满足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新建应收</w:t>
            </w:r>
          </w:p>
        </w:tc>
        <w:tc>
          <w:tcPr>
            <w:tcW w:type="dxa" w:w="741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包含九项必填字段；可从已有付款方下选择或新建项目。</w:t>
            </w:r>
          </w:p>
        </w:tc>
      </w:tr>
      <w:tr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台账与详情</w:t>
            </w:r>
          </w:p>
        </w:tc>
        <w:tc>
          <w:tcPr>
            <w:tcW w:type="dxa" w:w="741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显示收款主体、付款方、项目、应收金额、已回款、余额、计划日期、主负责人、进展和下次跟进。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考核记录</w:t>
            </w:r>
          </w:p>
        </w:tc>
        <w:tc>
          <w:tcPr>
            <w:tcW w:type="dxa" w:w="741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显示100分基础、四类扣分明细、最终得分、结果等级、规则版本和申诉入口。</w:t>
            </w:r>
          </w:p>
        </w:tc>
      </w:tr>
      <w:tr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规则说明</w:t>
            </w:r>
          </w:p>
        </w:tc>
        <w:tc>
          <w:tcPr>
            <w:tcW w:type="dxa" w:w="741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显示公式、四类扣分、责任边界、申诉流程，并可下载本手册。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审计与导出</w:t>
            </w:r>
          </w:p>
        </w:tc>
        <w:tc>
          <w:tcPr>
            <w:tcW w:type="dxa" w:w="741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保留关键操作日志；导出字段与页面口径一致。</w:t>
            </w:r>
          </w:p>
        </w:tc>
      </w:tr>
    </w:tbl>
    <w:p>
      <w:pPr>
        <w:spacing w:after="40"/>
      </w:pP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本手册自试运行发布之日起在平台内同步展示。与平台页面发生不一致时，应先暂停相关自动扣分，由考核管理员核对版本并发布更正记录。</w:t>
      </w:r>
    </w:p>
    <w:sectPr>
      <w:headerReference r:id="rId5" w:type="default"/>
      <w:pgSz w:w="12240" w:h="15840"/>
      <w:pgMar w:top="1152" w:right="1440" w:bottom="1080" w:left="1440" w:header="547" w:footer="54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CFB" w:usb2="00000016" w:usb3="00000000" w:csb0="00040001" w:csb1="00000000"/>
  </w:font>
  <w:font w:name="ＭＳ 明朝">
    <w:altName w:val="方正小标宋_GB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方正小标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方正小标宋_GBK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ＭＳ 明朝">
    <w:altName w:val="方正小标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方正小标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0BAAE">
    <w:pPr>
      <w:pStyle w:val="2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FF94B05"/>
    <w:rsid w:val="78EC447B"/>
    <w:rsid w:val="BF9579BE"/>
    <w:rsid w:val="CBFC16CB"/>
    <w:rsid w:val="CEDFF431"/>
    <w:rsid w:val="F75B1BFD"/>
    <w:rsid w:val="FBF4B444"/>
    <w:rsid w:val="FDF7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00" w:lineRule="auto"/>
    </w:pPr>
    <w:rPr>
      <w:rFonts w:ascii="Arial Unicode MS" w:hAnsi="Arial Unicode MS" w:eastAsia="Arial Unicode MS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60" w:after="180"/>
      <w:outlineLvl w:val="0"/>
    </w:pPr>
    <w:rPr>
      <w:rFonts w:asciiTheme="majorHAnsi" w:hAnsiTheme="majorHAnsi" w:eastAsiaTheme="majorEastAsia" w:cstheme="majorBidi" w:ascii="Arial Unicode MS" w:hAnsi="Arial Unicode MS" w:eastAsia="Arial Unicode MS"/>
      <w:b/>
      <w:bCs/>
      <w:color w:val="000000"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60" w:after="120"/>
      <w:outlineLvl w:val="1"/>
    </w:pPr>
    <w:rPr>
      <w:rFonts w:asciiTheme="majorHAnsi" w:hAnsiTheme="majorHAnsi" w:eastAsiaTheme="majorEastAsia" w:cstheme="majorBidi" w:ascii="Arial Unicode MS" w:hAnsi="Arial Unicode MS" w:eastAsia="Arial Unicode MS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80" w:after="80"/>
      <w:outlineLvl w:val="2"/>
    </w:pPr>
    <w:rPr>
      <w:rFonts w:asciiTheme="majorHAnsi" w:hAnsiTheme="majorHAnsi" w:eastAsiaTheme="majorEastAsia" w:cstheme="majorBidi"/>
      <w:b/>
      <w:bCs/>
      <w:color w:val="173C63"/>
      <w:sz w:val="23"/>
    </w:rPr>
  </w:style>
  <w:style w:type="paragraph" w:styleId="6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  <w:rPr>
      <w:rFonts w:ascii="Hiragino Sans GB" w:hAnsi="Hiragino Sans GB" w:eastAsia="Hiragino Sans GB"/>
    </w:rPr>
  </w:style>
  <w:style w:type="table" w:default="1" w:styleId="32">
    <w:name w:val="Normal Table"/>
    <w:semiHidden/>
    <w:unhideWhenUsed/>
    <w:uiPriority w:val="99"/>
    <w:rPr>
      <w:rFonts w:ascii="Hiragino Sans GB" w:hAnsi="Hiragino Sans GB" w:eastAsia="Hiragino Sans GB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Hiragino Sans GB" w:hAnsi="Hiragino Sans GB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  <w:rPr>
      <w:rFonts w:ascii="Hiragino Sans GB" w:hAnsi="Hiragino Sans GB" w:eastAsia="Hiragino Sans GB"/>
    </w:r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  <w:rPr>
      <w:rFonts w:ascii="Hiragino Sans GB" w:hAnsi="Hiragino Sans GB" w:eastAsia="Hiragino Sans GB"/>
    </w:r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spacing w:after="80" w:line="300" w:lineRule="auto"/>
      <w:ind w:left="540" w:hanging="271"/>
      <w:contextualSpacing/>
    </w:pPr>
    <w:rPr>
      <w:rFonts w:ascii="Arial Unicode MS" w:hAnsi="Arial Unicode MS" w:eastAsia="Arial Unicode MS"/>
      <w:color w:val="000000"/>
      <w:sz w:val="21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Hiragino Sans GB" w:hAnsi="Hiragino Sans GB" w:eastAsia="Hiragino Sans GB"/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after="80" w:line="300" w:lineRule="auto"/>
      <w:ind w:left="540" w:hanging="271"/>
      <w:contextualSpacing/>
    </w:pPr>
    <w:rPr>
      <w:rFonts w:ascii="Arial Unicode MS" w:hAnsi="Arial Unicode MS" w:eastAsia="Arial Unicode MS"/>
      <w:color w:val="000000"/>
      <w:sz w:val="21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Hiragino Sans GB" w:hAnsi="Hiragino Sans GB" w:eastAsia="Hiragino Sans GB"/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  <w:rPr>
      <w:rFonts w:ascii="Hiragino Sans GB" w:hAnsi="Hiragino Sans GB" w:eastAsia="Hiragino Sans GB"/>
    </w:rPr>
  </w:style>
  <w:style w:type="paragraph" w:styleId="19">
    <w:name w:val="Body Text"/>
    <w:basedOn w:val="1"/>
    <w:link w:val="144"/>
    <w:unhideWhenUsed/>
    <w:uiPriority w:val="99"/>
    <w:pPr>
      <w:spacing w:after="120"/>
    </w:pPr>
    <w:rPr>
      <w:rFonts w:ascii="Hiragino Sans GB" w:hAnsi="Hiragino Sans GB" w:eastAsia="Hiragino Sans GB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  <w:rPr>
      <w:rFonts w:ascii="Hiragino Sans GB" w:hAnsi="Hiragino Sans GB" w:eastAsia="Hiragino Sans GB"/>
    </w:rPr>
  </w:style>
  <w:style w:type="paragraph" w:styleId="21">
    <w:name w:val="List 2"/>
    <w:basedOn w:val="1"/>
    <w:unhideWhenUsed/>
    <w:uiPriority w:val="99"/>
    <w:pPr>
      <w:ind w:left="720" w:hanging="360"/>
      <w:contextualSpacing/>
    </w:pPr>
    <w:rPr>
      <w:rFonts w:ascii="Hiragino Sans GB" w:hAnsi="Hiragino Sans GB" w:eastAsia="Hiragino Sans GB"/>
    </w:r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  <w:rPr>
      <w:rFonts w:ascii="Hiragino Sans GB" w:hAnsi="Hiragino Sans GB" w:eastAsia="Hiragino Sans GB"/>
    </w:r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  <w:rPr>
      <w:rFonts w:ascii="Hiragino Sans GB" w:hAnsi="Hiragino Sans GB" w:eastAsia="Hiragino Sans GB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  <w:rPr>
      <w:rFonts w:ascii="Hiragino Sans GB" w:hAnsi="Hiragino Sans GB" w:eastAsia="Hiragino Sans GB"/>
    </w:r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  <w:rPr>
      <w:rFonts w:ascii="Hiragino Sans GB" w:hAnsi="Hiragino Sans GB" w:eastAsia="Hiragino Sans GB"/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  <w:rPr>
      <w:rFonts w:ascii="Hiragino Sans GB" w:hAnsi="Hiragino Sans GB" w:eastAsia="Hiragino Sans GB"/>
    </w:r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  <w:rPr>
      <w:rFonts w:ascii="Hiragino Sans GB" w:hAnsi="Hiragino Sans GB" w:eastAsia="Hiragino Sans GB"/>
    </w:rPr>
  </w:style>
  <w:style w:type="paragraph" w:styleId="31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 w:ascii="Arial Unicode MS" w:hAnsi="Arial Unicode MS" w:eastAsia="Arial Unicode MS"/>
      <w:b/>
      <w:color w:val="000000"/>
      <w:spacing w:val="5"/>
      <w:kern w:val="28"/>
      <w:sz w:val="40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Hiragino Sans GB" w:hAnsi="Hiragino Sans GB" w:eastAsia="Hiragino Sans GB"/>
      <w:b/>
      <w:bCs/>
    </w:rPr>
  </w:style>
  <w:style w:type="character" w:styleId="134">
    <w:name w:val="Emphasis"/>
    <w:basedOn w:val="132"/>
    <w:qFormat/>
    <w:uiPriority w:val="20"/>
    <w:rPr>
      <w:rFonts w:ascii="Hiragino Sans GB" w:hAnsi="Hiragino Sans GB" w:eastAsia="Hiragino Sans GB"/>
      <w:i/>
      <w:iCs/>
    </w:rPr>
  </w:style>
  <w:style w:type="character" w:customStyle="1" w:styleId="135">
    <w:name w:val="Header Char"/>
    <w:basedOn w:val="132"/>
    <w:link w:val="25"/>
    <w:uiPriority w:val="99"/>
    <w:rPr>
      <w:rFonts w:ascii="Hiragino Sans GB" w:hAnsi="Hiragino Sans GB" w:eastAsia="Hiragino Sans GB"/>
    </w:rPr>
  </w:style>
  <w:style w:type="character" w:customStyle="1" w:styleId="136">
    <w:name w:val="Footer Char"/>
    <w:basedOn w:val="132"/>
    <w:link w:val="24"/>
    <w:uiPriority w:val="99"/>
    <w:rPr>
      <w:rFonts w:ascii="Hiragino Sans GB" w:hAnsi="Hiragino Sans GB" w:eastAsia="Hiragino Sans GB"/>
    </w:rPr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  <w:rPr>
      <w:rFonts w:ascii="Hiragino Sans GB" w:hAnsi="Hiragino Sans GB" w:eastAsia="Hiragino Sans GB"/>
    </w:rPr>
  </w:style>
  <w:style w:type="character" w:customStyle="1" w:styleId="144">
    <w:name w:val="Body Text Char"/>
    <w:basedOn w:val="132"/>
    <w:link w:val="19"/>
    <w:uiPriority w:val="99"/>
    <w:rPr>
      <w:rFonts w:ascii="Hiragino Sans GB" w:hAnsi="Hiragino Sans GB" w:eastAsia="Hiragino Sans GB"/>
    </w:rPr>
  </w:style>
  <w:style w:type="character" w:customStyle="1" w:styleId="145">
    <w:name w:val="Body Text 2 Char"/>
    <w:basedOn w:val="132"/>
    <w:link w:val="28"/>
    <w:uiPriority w:val="99"/>
    <w:rPr>
      <w:rFonts w:ascii="Hiragino Sans GB" w:hAnsi="Hiragino Sans GB" w:eastAsia="Hiragino Sans GB"/>
    </w:rPr>
  </w:style>
  <w:style w:type="character" w:customStyle="1" w:styleId="146">
    <w:name w:val="Body Text 3 Char"/>
    <w:basedOn w:val="132"/>
    <w:link w:val="17"/>
    <w:uiPriority w:val="99"/>
    <w:rPr>
      <w:rFonts w:ascii="Hiragino Sans GB" w:hAnsi="Hiragino Sans GB" w:eastAsia="Hiragino Sans GB"/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Hiragino Sans GB" w:hAnsi="Hiragino Sans GB" w:eastAsia="Hiragino Sans GB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Hiragino Sans GB" w:hAnsi="Hiragino Sans GB" w:eastAsia="Hiragino Sans GB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rFonts w:ascii="Hiragino Sans GB" w:hAnsi="Hiragino Sans GB" w:eastAsia="Hiragino Sans GB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rFonts w:ascii="Hiragino Sans GB" w:hAnsi="Hiragino Sans GB" w:eastAsia="Hiragino Sans GB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rFonts w:ascii="Hiragino Sans GB" w:hAnsi="Hiragino Sans GB" w:eastAsia="Hiragino Sans GB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rFonts w:ascii="Hiragino Sans GB" w:hAnsi="Hiragino Sans GB" w:eastAsia="Hiragino Sans GB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rFonts w:ascii="Hiragino Sans GB" w:hAnsi="Hiragino Sans GB" w:eastAsia="Hiragino Sans GB"/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rFonts w:ascii="Hiragino Sans GB" w:hAnsi="Hiragino Sans GB" w:eastAsia="Hiragino Sans GB"/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rFonts w:ascii="Hiragino Sans GB" w:hAnsi="Hiragino Sans GB" w:eastAsia="Hiragino Sans GB"/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Hiragino Sans GB" w:hAnsi="Hiragino Sans GB" w:eastAsia="Hiragino Sans GB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479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坤石山应收款跟踪平台项目组</dc:creator>
  <dc:description>generated by python-docx</dc:description>
  <cp:lastModifiedBy>Cu</cp:lastModifiedBy>
  <dcterms:modified xsi:type="dcterms:W3CDTF">2026-08-12T16:20:37Z</dcterms:modified>
  <dc:subject>应收款制度、自动跟踪与角色分账考核规则</dc:subject>
  <dc:title>坤石山应收款管理制度及考核手册（财务评审稿）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6A1F77FBE0A2BB71D52C7C6AED93D2FF_43</vt:lpwstr>
  </property>
</Properties>
</file>