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spacing w:before="240" w:after="160"/>
        <w:jc w:val="center"/>
      </w:pPr>
      <w:r>
        <w:rPr>
          <w:rFonts w:ascii="Arial Unicode MS" w:hAnsi="Arial Unicode MS" w:eastAsia="Arial Unicode MS"/>
          <w:b/>
          <w:color w:val="000000"/>
          <w:sz w:val="40"/>
        </w:rPr>
        <w:t>应收款管理制度及考核手册</w:t>
      </w:r>
    </w:p>
    <w:p>
      <w:pPr>
        <w:spacing w:after="40"/>
        <w:jc w:val="center"/>
      </w:pPr>
      <w:r>
        <w:rPr>
          <w:rFonts w:ascii="Arial Unicode MS" w:hAnsi="Arial Unicode MS" w:eastAsia="Arial Unicode MS"/>
          <w:b/>
          <w:color w:val="666666"/>
          <w:sz w:val="22"/>
        </w:rPr>
        <w:t>V1.2 试运行版</w:t>
      </w:r>
    </w:p>
    <w:p>
      <w:pPr>
        <w:spacing w:after="320"/>
        <w:jc w:val="center"/>
      </w:pPr>
      <w:r>
        <w:rPr>
          <w:rFonts w:ascii="Arial Unicode MS" w:hAnsi="Arial Unicode MS" w:eastAsia="Arial Unicode MS"/>
          <w:b w:val="0"/>
          <w:color w:val="666666"/>
          <w:sz w:val="20"/>
        </w:rPr>
        <w:t>2026年10月9日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手册以“少填、自动算、可追溯”为原则，统一应收款从建档、跟进、协同、到账确认到关闭的管理口径。平台以业主方或付款方为上层主体，同一付款方可以关联多个项目；每个项目可以建立多笔应收事项。员工只录入业务事实，系统自动计算余额、逾期、风险和考核结果。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版取消复杂权重和角色平均分。员工月度得分从100分起，只对经确认的责任事件扣分；客户资金安排、审批进度等外部原因本身不扣分，但必须及时更新、协同和上报。计划回款日期需要调整时，主负责人必须提交延期申请，完成部门负责人和财务两级审批后方可生效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一 制度目的与适用范围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本制度用于统一公司应收款台账、跟进动作、到账确认、风险处理和责任考核，帮助业务、财务和管理人员使用同一套数据判断回款状态。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适用人员：应收款主负责人、协同人、部门负责人、财务人员、考核管理员和平台管理员。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适用事项：工程款、设备款、服务费、质保金、保证金返还、电费、租金以及经管理员配置的其他收款类型。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平台定位：记录和推动应收款工作，不替代会计核算、合同审批或纪律处分程序。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二 管理原则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87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原则</w:t>
            </w:r>
          </w:p>
        </w:tc>
        <w:tc>
          <w:tcPr>
            <w:tcW w:type="dxa" w:w="748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执行要求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一事一主责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每笔应收事项只能有一名主负责人；协同人只对明确分派并接受的事项负责。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事实一次登记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付款方、项目和应收事项分层保存，禁止为同一付款方的不同项目反复建立付款方档案。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系统自动计算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余额、回款率、逾期天数、风险状态和月度得分由系统根据事实记录生成。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到账由财务确认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业务报告到账不等于正式回款；只有财务确认金额进入实际回款和余额计算。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异常有据复核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调期、免责、申诉和冲正必须有理由、证据、审批人、时间和完整日志。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三 数据结构与字段标准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3.1 四层数据结构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94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层级</w:t>
            </w:r>
          </w:p>
        </w:tc>
        <w:tc>
          <w:tcPr>
            <w:tcW w:type="dxa" w:w="496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说明</w:t>
            </w:r>
          </w:p>
        </w:tc>
        <w:tc>
          <w:tcPr>
            <w:tcW w:type="dxa" w:w="244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示例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业主方或付款方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实际承担付款义务或出具付款安排的主体，是项目的上层归集对象。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四川坤石山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项目</w:t>
            </w:r>
          </w:p>
        </w:tc>
        <w:tc>
          <w:tcPr>
            <w:tcW w:type="dxa" w:w="496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同一付款方下的具体合同、工程或服务事项。</w:t>
            </w:r>
          </w:p>
        </w:tc>
        <w:tc>
          <w:tcPr>
            <w:tcW w:type="dxa" w:w="24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充电站建设项目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应收事项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需要独立跟进金额、计划日期和责任人的一笔应收。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工程进度款第二期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到账记录</w:t>
            </w:r>
          </w:p>
        </w:tc>
        <w:tc>
          <w:tcPr>
            <w:tcW w:type="dxa" w:w="496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业务报告并经财务确认的每一笔实际到账。</w:t>
            </w:r>
          </w:p>
        </w:tc>
        <w:tc>
          <w:tcPr>
            <w:tcW w:type="dxa" w:w="24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2026年9月到账20万元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关系规则：一个业主方或付款方可以关联多个项目；一个项目可以有多笔应收事项；一笔应收事项可以有多笔到账记录。平台不得用“项目名称”代替“业主方或付款方名称”。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3.2 新建应收事项必填字段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64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序号</w:t>
            </w:r>
          </w:p>
        </w:tc>
        <w:tc>
          <w:tcPr>
            <w:tcW w:type="dxa" w:w="172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字段</w:t>
            </w:r>
          </w:p>
        </w:tc>
        <w:tc>
          <w:tcPr>
            <w:tcW w:type="dxa" w:w="525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填写口径</w:t>
            </w:r>
          </w:p>
        </w:tc>
        <w:tc>
          <w:tcPr>
            <w:tcW w:type="dxa" w:w="172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责任人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收款主体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我方实际收款公司或主体。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业主方或付款方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以合同、结算或实际付款责任主体为准；优先从已有主体选择。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项目名称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付款方名下的具体项目或事项；必须与付款方建立关联。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收款类型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工程款、设备款、服务费、质保金等标准枚举。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本次应收金额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本笔需要独立跟进的应收金额，不填合同总额。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计划回款日期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当前承诺或合理预计的回款日期。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对本笔应收跟进和更新负最终责任的人。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创建人或部门负责人</w:t>
            </w:r>
          </w:p>
        </w:tc>
      </w:tr>
      <w:tr>
        <w:tc>
          <w:tcPr>
            <w:tcW w:type="dxa" w:w="6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当前进展</w:t>
            </w:r>
          </w:p>
        </w:tc>
        <w:tc>
          <w:tcPr>
            <w:tcW w:type="dxa" w:w="52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填写已发生事实、客户反馈和当前状态。</w:t>
            </w:r>
          </w:p>
        </w:tc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</w:tr>
      <w:tr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下次跟进日期</w:t>
            </w:r>
          </w:p>
        </w:tc>
        <w:tc>
          <w:tcPr>
            <w:tcW w:type="dxa" w:w="52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下一次必须执行或复核的日期。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</w:tr>
    </w:tbl>
    <w:p>
      <w:pPr>
        <w:spacing w:after="40"/>
      </w:pP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3.3 条件字段与系统字段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44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类别</w:t>
            </w:r>
          </w:p>
        </w:tc>
        <w:tc>
          <w:tcPr>
            <w:tcW w:type="dxa" w:w="302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字段</w:t>
            </w:r>
          </w:p>
        </w:tc>
        <w:tc>
          <w:tcPr>
            <w:tcW w:type="dxa" w:w="489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使用条件</w:t>
            </w:r>
          </w:p>
        </w:tc>
      </w:tr>
      <w:t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条件字段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结算金额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已完成结算或存在结算口径时填写；未结算不强制。</w:t>
            </w:r>
          </w:p>
        </w:tc>
      </w:tr>
      <w:tr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条件字段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客户联系人、协同人、附件</w:t>
            </w:r>
          </w:p>
        </w:tc>
        <w:tc>
          <w:tcPr>
            <w:tcW w:type="dxa" w:w="489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需要联系、协同或留证时填写。</w:t>
            </w:r>
          </w:p>
        </w:tc>
      </w:tr>
      <w:t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条件字段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调期、免责、争议或诉讼信息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发生相应例外情形时填写并提交审批。</w:t>
            </w:r>
          </w:p>
        </w:tc>
      </w:tr>
      <w:tr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系统字段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已确认回款、剩余应收、回款率</w:t>
            </w:r>
          </w:p>
        </w:tc>
        <w:tc>
          <w:tcPr>
            <w:tcW w:type="dxa" w:w="489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根据财务确认的到账记录自动计算。</w:t>
            </w:r>
          </w:p>
        </w:tc>
      </w:tr>
      <w:tr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系统字段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到期状态、逾期天数、风险等级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根据计划日期、更新记录和卡点自动计算。</w:t>
            </w:r>
          </w:p>
        </w:tc>
      </w:tr>
      <w:tr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系统字段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月度扣分、最终得分、版本号</w:t>
            </w:r>
          </w:p>
        </w:tc>
        <w:tc>
          <w:tcPr>
            <w:tcW w:type="dxa" w:w="489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根据经确认事件和当月生效规则自动计算并锁定。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四 角色与权限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65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角色</w:t>
            </w:r>
          </w:p>
        </w:tc>
        <w:tc>
          <w:tcPr>
            <w:tcW w:type="dxa" w:w="468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主要职责</w:t>
            </w:r>
          </w:p>
        </w:tc>
        <w:tc>
          <w:tcPr>
            <w:tcW w:type="dxa" w:w="302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可操作范围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主负责人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建档、持续更新、跟进付款方、发起协同、上报风险、报告到账并确认业务关闭。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本人主责事项及与之相关的协同、附件和申诉。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协同人</w:t>
            </w:r>
          </w:p>
        </w:tc>
        <w:tc>
          <w:tcPr>
            <w:tcW w:type="dxa" w:w="468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在明确的内容和期限内提交结果；不能完成时提前说明并给出新计划。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本人已接受的协同事项和必要的关联信息。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财务人员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核对实际到账、确认金额和日期、退回异常、补录凭证、发起冲正；对部门负责人已同意的延期申请进行二级确认。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财务待办、到账记录、延期二级审批及必要的项目和付款方信息。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部门负责人</w:t>
            </w:r>
          </w:p>
        </w:tc>
        <w:tc>
          <w:tcPr>
            <w:tcW w:type="dxa" w:w="468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分配主负责人、督办逾期事项、对延期申请进行一级审批、审核免责并处理一级申诉。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本部门事项及相关考核依据。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考核管理员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维护规则版本、复核争议、锁定月度结果、导出审计清单。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考核事件、审批记录和锁定结果。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平台管理员</w:t>
            </w:r>
          </w:p>
        </w:tc>
        <w:tc>
          <w:tcPr>
            <w:tcW w:type="dxa" w:w="468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维护基础配置、权限、工作日历、版本和备份，不得无日志改业务事实。</w:t>
            </w:r>
          </w:p>
        </w:tc>
        <w:tc>
          <w:tcPr>
            <w:tcW w:type="dxa" w:w="302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系统配置和审计日志。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五 应收款执行流程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创建事项。优先选择已有业主方或付款方，再选择或新建其项目，填写九项必填字段。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持续跟进。主负责人按下次跟进日期更新事实、下一步动作和下一次跟进日期；预计无法按期回款时提交延期申请，不得直接修改计划回款日期；系统保留每次更新和申请记录。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发起协同或上报卡点。需要他人完成具体事项时明确内容、责任人和完成期限；已影响回款时同步标记风险。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报告到账。业务人员填写到账金额、日期和付款单位；该记录进入财务待确认，不立即改变正式余额。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财务确认。财务核对银行流水后确认、部分确认或退回；确认错误必须冲正，不得删除原记录。</w:t>
      </w:r>
    </w:p>
    <w:p>
      <w:pPr>
        <w:pStyle w:val="14"/>
        <w:spacing w:before="0" w:after="80" w:line="324" w:lineRule="auto"/>
        <w:ind w:left="403" w:hanging="288"/>
      </w:pPr>
      <w:r>
        <w:rPr>
          <w:rFonts w:ascii="Arial Unicode MS" w:hAnsi="Arial Unicode MS" w:eastAsia="Arial Unicode MS"/>
          <w:b w:val="0"/>
          <w:color w:val="000000"/>
          <w:sz w:val="21"/>
        </w:rPr>
        <w:t>业务关闭。剩余应收为零、差额处理完成、卡点与协同清零后，由主负责人确认闭环。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六 时间提醒 协同与风险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平台在下次跟进日、计划回款日前和逾期后生成提醒。员工收到提醒后应更新事实；计划日期需要调整时必须提交延期申请，不得用普通进展更新直接覆盖日期。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协同事项必须写清“谁、完成什么、何时完成、交付标准”。未被明确分派的人员不承担该事项扣分。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发现客户拒付、资料缺失、争议、资金异常或预计不能按期回款时，应在知道风险后及时上报。及时上报本身不扣分。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法定节假日、公司统一长假、系统故障和已批准暂停期间，普通计时暂停；重大风险由管理人员决定是否持续跟踪。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七 财务确认 差额与关闭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87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事项</w:t>
            </w:r>
          </w:p>
        </w:tc>
        <w:tc>
          <w:tcPr>
            <w:tcW w:type="dxa" w:w="748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统一口径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到账确认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仅财务确认金额计入实际回款。业务报告金额只作为待核验信息。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部分到账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系统将财务确认金额累计到已回款，并自动计算剩余应收。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多收或少收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必须明确拆分、待认领、折让、调整或退款路径，未经处理不得关闭。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凭证补录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可以先确认到账再补凭证，但应在公司规定期限内补齐。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冲正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发现确认错误时关联原记录新增冲正，不删除、不覆盖原确认单。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关闭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剩余应收为零，差额、卡点和协同均处理完成，主负责人确认后关闭。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八 月度考核规则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8.1 计算方式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月度得分 = max（0，100 − 当月经确认的扣分合计）。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考核对象是可控制的履职动作，不以实际回款金额直接奖惩个人。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同一事实同时触发多条规则时，只按最重一项扣分，不重复扣分。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普通责任事件对同一应收事项每月累计最多扣10分；重大责任事件不受该上限限制并单独列示。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当月无应履行任务或无经确认扣分事件时，得分为100；没有适用任务的人员标记“本月无适用事项”，不参与排名。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8.2 四类扣分事件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79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代码</w:t>
            </w:r>
          </w:p>
        </w:tc>
        <w:tc>
          <w:tcPr>
            <w:tcW w:type="dxa" w:w="266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责任事件</w:t>
            </w:r>
          </w:p>
        </w:tc>
        <w:tc>
          <w:tcPr>
            <w:tcW w:type="dxa" w:w="144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扣分</w:t>
            </w:r>
          </w:p>
        </w:tc>
        <w:tc>
          <w:tcPr>
            <w:tcW w:type="dxa" w:w="446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认定条件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D1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提醒后仍未更新进展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每项扣2分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提醒有效送达后，超过规定期限仍没有真实进展、下一步动作或下次跟进日期。</w:t>
            </w:r>
          </w:p>
        </w:tc>
      </w:tr>
      <w:tr>
        <w:tc>
          <w:tcPr>
            <w:tcW w:type="dxa" w:w="79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D2</w:t>
            </w:r>
          </w:p>
        </w:tc>
        <w:tc>
          <w:tcPr>
            <w:tcW w:type="dxa" w:w="26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本人责任任务或协同逾期</w:t>
            </w:r>
          </w:p>
        </w:tc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每项扣5分</w:t>
            </w:r>
          </w:p>
        </w:tc>
        <w:tc>
          <w:tcPr>
            <w:tcW w:type="dxa" w:w="44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本人已接受且可控制的任务超过期限，未提前说明、未提交调整或未交付有效结果。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D3</w:t>
            </w:r>
          </w:p>
        </w:tc>
        <w:tc>
          <w:tcPr>
            <w:tcW w:type="dxa" w:w="26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已知风险未上报或延期申请逾期提交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每项扣5分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已经知道可能影响回款的风险却未及时上报，或在原计划回款日期后才提交延期申请。同一应收事项同一月份的逾期延期申请只扣一次。</w:t>
            </w:r>
          </w:p>
        </w:tc>
      </w:tr>
      <w:tr>
        <w:tc>
          <w:tcPr>
            <w:tcW w:type="dxa" w:w="79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D4</w:t>
            </w:r>
          </w:p>
        </w:tc>
        <w:tc>
          <w:tcPr>
            <w:tcW w:type="dxa" w:w="26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造假 隐瞒或擅自改期</w:t>
            </w:r>
          </w:p>
        </w:tc>
        <w:tc>
          <w:tcPr>
            <w:tcW w:type="dxa" w:w="14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每项扣20分</w:t>
            </w:r>
          </w:p>
        </w:tc>
        <w:tc>
          <w:tcPr>
            <w:tcW w:type="dxa" w:w="446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伪造记录、故意隐瞒重大事实、删除证据或未经审批改变关键期限；同时列为重大责任事件。</w:t>
            </w:r>
          </w:p>
        </w:tc>
      </w:tr>
    </w:tbl>
    <w:p>
      <w:pPr>
        <w:spacing w:after="40"/>
      </w:pP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8.3 不扣分与责任边界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客户资金安排、审批、合同争议等外部原因不直接扣分；员工仍须按时更新、上报、协同和申请调整。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在原计划回款日期前提交并获批准的调期，以及已批准的免责或暂停期间，不扣延期申请相关责任分；系统故障、提醒未送达且可核实的，不得误扣。原计划日期后才提交延期申请的，按本手册规定扣分，审批通过不撤销该项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主负责人已及时发起协同、催办和升级的，不因协同人失误连带扣分；协同人只对本人明确接受且可控制的事项负责。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8.4 结果分级与试运行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80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月度得分</w:t>
            </w:r>
          </w:p>
        </w:tc>
        <w:tc>
          <w:tcPr>
            <w:tcW w:type="dxa" w:w="180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结果</w:t>
            </w:r>
          </w:p>
        </w:tc>
        <w:tc>
          <w:tcPr>
            <w:tcW w:type="dxa" w:w="576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处理建议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90至100</w:t>
            </w:r>
          </w:p>
        </w:tc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达标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正常记录；可结合经营贡献另行表扬。</w:t>
            </w:r>
          </w:p>
        </w:tc>
      </w:tr>
      <w:tr>
        <w:tc>
          <w:tcPr>
            <w:tcW w:type="dxa" w:w="180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80至89</w:t>
            </w:r>
          </w:p>
        </w:tc>
        <w:tc>
          <w:tcPr>
            <w:tcW w:type="dxa" w:w="180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待改进</w:t>
            </w:r>
          </w:p>
        </w:tc>
        <w:tc>
          <w:tcPr>
            <w:tcW w:type="dxa" w:w="576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部门负责人沟通原因并明确下月改进动作。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低于80</w:t>
            </w:r>
          </w:p>
        </w:tc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重点复核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复核责任事实、系统记录和管理支持，不自动等同纪律处分。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试运行前两个月只用于校准字段、提醒和扣分口径，不与薪酬直接挂钩。正式挂钩需经公司书面批准，明确比例、生效日期和申诉渠道。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8.5 计算示例</w:t>
      </w: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某员工当月发生1项“提醒后仍未更新”扣2分、1项“已知风险未上报”扣5分；两项事实不同，月度得分为100−2−5＝93分，结果为“达标”。如果两条规则来自同一事实，则只按较重的5分计算。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九 调期 免责 申诉与结果锁定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9.1 调期和免责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调期必须由应收事项主负责人提交，填写原计划回款日期、当前计划回款日期、拟延期日期、延期原因、已采取措施、后续计划和证明材料。申请先由部门负责人审批，再由财务确认；财务批准后，新日期才成为当前计划回款日期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系统以延期申请的提交时间判断是否逾期。申请提交日不晚于原计划回款日期且最终获批的，按照批准后的新日期继续计算临期和逾期；申请被驳回的，仍按原计划或当时有效的当前计划日期执行。</w:t>
      </w:r>
    </w:p>
    <w:p>
      <w:pPr>
        <w:pStyle w:val="16"/>
        <w:spacing w:before="0" w:after="60" w:line="324" w:lineRule="auto"/>
        <w:ind w:left="360" w:hanging="230"/>
      </w:pPr>
      <w:r>
        <w:t>在原计划回款日期后提交延期申请的，系统在提交时自动按D3每项扣5分；同一应收事项同一月份只扣一次。审批通过后，新日期可以生效，但该项扣分不撤销。原计划日期、提交时间、审批意见、批准日期和扣分事件均永久保留，不得覆盖或删除。</w:t>
      </w:r>
    </w:p>
    <w:p>
      <w:pPr>
        <w:pStyle w:val="16"/>
        <w:spacing w:before="0" w:after="60" w:line="324" w:lineRule="auto"/>
        <w:ind w:left="360" w:hanging="230"/>
      </w:pPr>
      <w:r>
        <w:t>延期审批只能新增申请和审批记录。任何角色不得直接覆盖原计划日期；确需纠正录入错误的，应通过冲正或更正流程处理并说明原因。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免责须说明不可控原因、影响期间、本人已履行动作、证据和审批人，不能只写“客户原因”或“特殊情况”。</w:t>
      </w:r>
    </w:p>
    <w:p>
      <w:pPr>
        <w:pStyle w:val="4"/>
        <w:keepNext/>
        <w:spacing w:before="160" w:after="80"/>
      </w:pPr>
      <w:r>
        <w:rPr>
          <w:rFonts w:ascii="Arial Unicode MS" w:hAnsi="Arial Unicode MS" w:eastAsia="Arial Unicode MS"/>
          <w:b/>
          <w:color w:val="000000"/>
          <w:sz w:val="24"/>
        </w:rPr>
        <w:t>9.2 申诉审批路径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165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步骤</w:t>
            </w:r>
          </w:p>
        </w:tc>
        <w:tc>
          <w:tcPr>
            <w:tcW w:type="dxa" w:w="194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处理人</w:t>
            </w:r>
          </w:p>
        </w:tc>
        <w:tc>
          <w:tcPr>
            <w:tcW w:type="dxa" w:w="424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主要动作</w:t>
            </w:r>
          </w:p>
        </w:tc>
        <w:tc>
          <w:tcPr>
            <w:tcW w:type="dxa" w:w="151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建议时限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 提交申诉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员工</w:t>
            </w:r>
          </w:p>
        </w:tc>
        <w:tc>
          <w:tcPr>
            <w:tcW w:type="dxa" w:w="42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选择扣分事件，说明事实、请求和证据。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结果公示后3个工作日内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2 一级审核</w:t>
            </w:r>
          </w:p>
        </w:tc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部门负责人</w:t>
            </w:r>
          </w:p>
        </w:tc>
        <w:tc>
          <w:tcPr>
            <w:tcW w:type="dxa" w:w="42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核对责任分工、提醒、更新、协同和证据。</w:t>
            </w:r>
          </w:p>
        </w:tc>
        <w:tc>
          <w:tcPr>
            <w:tcW w:type="dxa" w:w="151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1个工作日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3 专业复核</w:t>
            </w:r>
          </w:p>
        </w:tc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财务或相关专业人员</w:t>
            </w:r>
          </w:p>
        </w:tc>
        <w:tc>
          <w:tcPr>
            <w:tcW w:type="dxa" w:w="42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仅在涉及到账、金额、系统异常或专业事实时参与。</w:t>
            </w:r>
          </w:p>
        </w:tc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1至2个工作日</w:t>
            </w:r>
          </w:p>
        </w:tc>
      </w:tr>
      <w:tr>
        <w:tc>
          <w:tcPr>
            <w:tcW w:type="dxa" w:w="165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4 结论与锁定</w:t>
            </w:r>
          </w:p>
        </w:tc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考核管理员</w:t>
            </w:r>
          </w:p>
        </w:tc>
        <w:tc>
          <w:tcPr>
            <w:tcW w:type="dxa" w:w="424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形成通过、部分通过或驳回结论，写明理由并锁定结果。</w:t>
            </w:r>
          </w:p>
        </w:tc>
        <w:tc>
          <w:tcPr>
            <w:tcW w:type="dxa" w:w="151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总计原则上5个工作日内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申诉期间相关结果标记为“待复核”。任何复核只能新增免责、责任确认、冲正或调整记录，不得删除原始日志。涉及重大责任、薪酬或纪律处理的，应按公司现行制度另行审批。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十 数据权限 审计与版本管理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87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控制项</w:t>
            </w:r>
          </w:p>
        </w:tc>
        <w:tc>
          <w:tcPr>
            <w:tcW w:type="dxa" w:w="748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要求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最小权限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员工只看本人主责或参与事项；部门负责人看本部门；财务只访问履职所需财务数据。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敏感信息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银行账户、合同、联系人和附件按角色授权，不在通知中展示完整敏感内容。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审计日志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创建、更新、分派、确认、冲正、调期、免责、申诉和规则变更必须留痕。</w:t>
            </w:r>
          </w:p>
        </w:tc>
      </w:tr>
      <w:tr>
        <w:tc>
          <w:tcPr>
            <w:tcW w:type="dxa" w:w="187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备份恢复</w:t>
            </w:r>
          </w:p>
        </w:tc>
        <w:tc>
          <w:tcPr>
            <w:tcW w:type="dxa" w:w="748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按公司备份策略保存数据库、附件、授权文件和系统配置，并定期验证恢复。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版本一致</w:t>
            </w:r>
          </w:p>
        </w:tc>
        <w:tc>
          <w:tcPr>
            <w:tcW w:type="dxa" w:w="74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平台显示当前规则版本并提供本手册下载；月度结果锁定后不因新规则自动重算。</w:t>
            </w:r>
          </w:p>
        </w:tc>
      </w:tr>
    </w:tbl>
    <w:p>
      <w:pPr>
        <w:spacing w:after="40"/>
      </w:pP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十一 试运行与验收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728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阶段</w:t>
            </w:r>
          </w:p>
        </w:tc>
        <w:tc>
          <w:tcPr>
            <w:tcW w:type="dxa" w:w="4392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重点任务</w:t>
            </w:r>
          </w:p>
        </w:tc>
        <w:tc>
          <w:tcPr>
            <w:tcW w:type="dxa" w:w="3240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验收标准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第1个月</w:t>
            </w:r>
          </w:p>
        </w:tc>
        <w:tc>
          <w:tcPr>
            <w:tcW w:type="dxa" w:w="43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建立付款方、项目和应收事项；验证九项必填字段。</w:t>
            </w:r>
          </w:p>
        </w:tc>
        <w:tc>
          <w:tcPr>
            <w:tcW w:type="dxa" w:w="32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能按付款方汇总多个项目，余额和逾期计算正确。</w:t>
            </w:r>
          </w:p>
        </w:tc>
      </w:tr>
      <w:tr>
        <w:tc>
          <w:tcPr>
            <w:tcW w:type="dxa" w:w="1728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第2个月</w:t>
            </w:r>
          </w:p>
        </w:tc>
        <w:tc>
          <w:tcPr>
            <w:tcW w:type="dxa" w:w="4392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校准提醒、协同、调期、免责和四类扣分。</w:t>
            </w:r>
          </w:p>
        </w:tc>
        <w:tc>
          <w:tcPr>
            <w:tcW w:type="dxa" w:w="3240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系统事件与人工抽查一致，无重复扣分或误扣。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正式运行前</w:t>
            </w:r>
          </w:p>
        </w:tc>
        <w:tc>
          <w:tcPr>
            <w:tcW w:type="dxa" w:w="43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完成财务、业务、管理层联合评审。</w:t>
            </w:r>
          </w:p>
        </w:tc>
        <w:tc>
          <w:tcPr>
            <w:tcW w:type="dxa" w:w="32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规则版本、权限、备份、申诉和月度锁定均可追溯。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附录一 月末审核清单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付款方、项目和应收事项关系是否正确，是否存在重复主体。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本月财务确认的到账记录、部分回款、差额和冲正是否完整。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四类扣分事件是否有提醒、责任、时限和证据，是否存在同一事实重复扣分。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延期申请是否在原计划日期前提交；逾期后提交是否已按D3扣5分；批准后的新日期、原日期和两级审批记录是否完整保留。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主负责人已及时协同和升级时，是否避免不当连带扣分。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申诉是否在规定时限内办结，结论和调整记录是否完整。</w:t>
      </w:r>
    </w:p>
    <w:p>
      <w:pPr>
        <w:pStyle w:val="16"/>
        <w:spacing w:before="0" w:after="60" w:line="324" w:lineRule="auto"/>
        <w:ind w:left="360" w:hanging="230"/>
      </w:pPr>
      <w:r>
        <w:rPr>
          <w:rFonts w:ascii="Arial Unicode MS" w:hAnsi="Arial Unicode MS" w:eastAsia="Arial Unicode MS"/>
          <w:b w:val="0"/>
          <w:color w:val="000000"/>
          <w:sz w:val="21"/>
        </w:rPr>
        <w:t>□ 月度结果是否引用正确规则版本，并在复核后锁定。</w:t>
      </w:r>
    </w:p>
    <w:p>
      <w:pPr>
        <w:pStyle w:val="3"/>
        <w:keepNext/>
        <w:spacing w:before="240" w:after="120"/>
      </w:pPr>
      <w:r>
        <w:rPr>
          <w:rFonts w:ascii="Arial Unicode MS" w:hAnsi="Arial Unicode MS" w:eastAsia="Arial Unicode MS"/>
          <w:b/>
          <w:color w:val="000000"/>
          <w:sz w:val="30"/>
        </w:rPr>
        <w:t>附录二 平台最低验收口径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1944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模块</w:t>
            </w:r>
          </w:p>
        </w:tc>
        <w:tc>
          <w:tcPr>
            <w:tcW w:type="dxa" w:w="7416"/>
            <w:shd w:fill="DCE6F1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必须满足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新建应收</w:t>
            </w:r>
          </w:p>
        </w:tc>
        <w:tc>
          <w:tcPr>
            <w:tcW w:type="dxa" w:w="741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包含九项必填字段；可从已有付款方下选择或新建项目。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台账与详情</w:t>
            </w:r>
          </w:p>
        </w:tc>
        <w:tc>
          <w:tcPr>
            <w:tcW w:type="dxa" w:w="741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显示收款主体、付款方、项目、应收金额、已回款、余额、计划日期、主负责人、进展和下次跟进。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考核记录</w:t>
            </w:r>
          </w:p>
        </w:tc>
        <w:tc>
          <w:tcPr>
            <w:tcW w:type="dxa" w:w="741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显示100分基础、扣分明细、最终得分、结果等级和规则版本；原日期后提交延期自动生成D3扣5分且同事项同月不重复。</w:t>
            </w:r>
          </w:p>
        </w:tc>
      </w:tr>
      <w:tr>
        <w:tc>
          <w:tcPr>
            <w:tcW w:type="dxa" w:w="1944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规则说明</w:t>
            </w:r>
          </w:p>
        </w:tc>
        <w:tc>
          <w:tcPr>
            <w:tcW w:type="dxa" w:w="7416"/>
            <w:shd w:fill="F5F8F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88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8"/>
              </w:rPr>
              <w:t>显示公式、四类扣分、责任边界、申诉流程，并可下载本手册。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延期审批与审计</w:t>
            </w:r>
          </w:p>
        </w:tc>
        <w:tc>
          <w:tcPr>
            <w:tcW w:type="dxa" w:w="741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支持主负责人申请、部门负责人一级审批、财务二级确认；批准后更新当前计划日期并重算状态，永久保留原日期、申请、审批和扣分记录。</w:t>
            </w:r>
          </w:p>
        </w:tc>
      </w:tr>
    </w:tbl>
    <w:p>
      <w:pPr>
        <w:spacing w:after="40"/>
      </w:pPr>
    </w:p>
    <w:p>
      <w:pPr>
        <w:spacing w:before="0" w:after="100" w:line="324" w:lineRule="auto"/>
        <w:ind w:firstLine="403"/>
      </w:pPr>
      <w:r>
        <w:rPr>
          <w:rFonts w:ascii="Arial Unicode MS" w:hAnsi="Arial Unicode MS" w:eastAsia="Arial Unicode MS"/>
          <w:b w:val="0"/>
          <w:color w:val="000000"/>
          <w:sz w:val="21"/>
        </w:rPr>
        <w:t>本手册自V1.2试运行版发布之日起在平台内同步展示。与平台页面或计算结果发生不一致时，应暂停相关自动扣分，由考核管理员核对规则版本并发布更正记录。</w:t>
      </w:r>
    </w:p>
    <w:sectPr>
      <w:headerReference r:id="rId5" w:type="default"/>
      <w:pgSz w:w="12240" w:h="15840"/>
      <w:pgMar w:top="1152" w:right="1440" w:bottom="1080" w:left="1440" w:header="547" w:footer="54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CFB" w:usb2="00000016" w:usb3="00000000" w:csb0="00040001" w:csb1="00000000"/>
  </w:font>
  <w:font w:name="ＭＳ 明朝">
    <w:altName w:val="方正小标宋_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方正小标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方正小标宋_GBK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ＭＳ 明朝">
    <w:altName w:val="方正小标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方正小标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0BAAE">
    <w:pPr>
      <w:pStyle w:val="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FF94B05"/>
    <w:rsid w:val="78EC447B"/>
    <w:rsid w:val="BF9579BE"/>
    <w:rsid w:val="CBFC16CB"/>
    <w:rsid w:val="CEDFF431"/>
    <w:rsid w:val="F75B1BFD"/>
    <w:rsid w:val="FBF4B444"/>
    <w:rsid w:val="FDF7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00" w:lineRule="auto"/>
    </w:pPr>
    <w:rPr>
      <w:rFonts w:ascii="Arial Unicode MS" w:hAnsi="Arial Unicode MS" w:eastAsia="Arial Unicode MS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180"/>
      <w:outlineLvl w:val="0"/>
    </w:pPr>
    <w:rPr>
      <w:rFonts w:asciiTheme="majorHAnsi" w:hAnsiTheme="majorHAnsi" w:eastAsiaTheme="majorEastAsia" w:cstheme="majorBidi" w:ascii="Arial Unicode MS" w:hAnsi="Arial Unicode MS" w:eastAsia="Arial Unicode MS"/>
      <w:b/>
      <w:bCs/>
      <w:color w:val="000000"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60" w:after="120"/>
      <w:outlineLvl w:val="1"/>
    </w:pPr>
    <w:rPr>
      <w:rFonts w:asciiTheme="majorHAnsi" w:hAnsiTheme="majorHAnsi" w:eastAsiaTheme="majorEastAsia" w:cstheme="majorBidi" w:ascii="Arial Unicode MS" w:hAnsi="Arial Unicode MS" w:eastAsia="Arial Unicode MS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80" w:after="80"/>
      <w:outlineLvl w:val="2"/>
    </w:pPr>
    <w:rPr>
      <w:rFonts w:asciiTheme="majorHAnsi" w:hAnsiTheme="majorHAnsi" w:eastAsiaTheme="majorEastAsia" w:cstheme="majorBidi"/>
      <w:b/>
      <w:bCs/>
      <w:color w:val="173C63"/>
      <w:sz w:val="23"/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  <w:rPr>
      <w:rFonts w:ascii="Hiragino Sans GB" w:hAnsi="Hiragino Sans GB" w:eastAsia="Hiragino Sans GB"/>
    </w:rPr>
  </w:style>
  <w:style w:type="table" w:default="1" w:styleId="32">
    <w:name w:val="Normal Table"/>
    <w:semiHidden/>
    <w:unhideWhenUsed/>
    <w:uiPriority w:val="99"/>
    <w:rPr>
      <w:rFonts w:ascii="Hiragino Sans GB" w:hAnsi="Hiragino Sans GB" w:eastAsia="Hiragino Sans GB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Hiragino Sans GB" w:hAnsi="Hiragino Sans GB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  <w:rPr>
      <w:rFonts w:ascii="Hiragino Sans GB" w:hAnsi="Hiragino Sans GB" w:eastAsia="Hiragino Sans GB"/>
    </w:r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80" w:line="300" w:lineRule="auto"/>
      <w:ind w:left="540" w:hanging="271"/>
      <w:contextualSpacing/>
    </w:pPr>
    <w:rPr>
      <w:rFonts w:ascii="Arial Unicode MS" w:hAnsi="Arial Unicode MS" w:eastAsia="Arial Unicode MS"/>
      <w:color w:val="000000"/>
      <w:sz w:val="21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80" w:line="300" w:lineRule="auto"/>
      <w:ind w:left="540" w:hanging="271"/>
      <w:contextualSpacing/>
    </w:pPr>
    <w:rPr>
      <w:rFonts w:ascii="Arial Unicode MS" w:hAnsi="Arial Unicode MS" w:eastAsia="Arial Unicode MS"/>
      <w:color w:val="000000"/>
      <w:sz w:val="21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Hiragino Sans GB" w:hAnsi="Hiragino Sans GB" w:eastAsia="Hiragino Sans GB"/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  <w:rPr>
      <w:rFonts w:ascii="Hiragino Sans GB" w:hAnsi="Hiragino Sans GB" w:eastAsia="Hiragino Sans GB"/>
    </w:rPr>
  </w:style>
  <w:style w:type="paragraph" w:styleId="19">
    <w:name w:val="Body Text"/>
    <w:basedOn w:val="1"/>
    <w:link w:val="144"/>
    <w:unhideWhenUsed/>
    <w:uiPriority w:val="99"/>
    <w:pPr>
      <w:spacing w:after="120"/>
    </w:pPr>
    <w:rPr>
      <w:rFonts w:ascii="Hiragino Sans GB" w:hAnsi="Hiragino Sans GB" w:eastAsia="Hiragino Sans GB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  <w:rPr>
      <w:rFonts w:ascii="Hiragino Sans GB" w:hAnsi="Hiragino Sans GB" w:eastAsia="Hiragino Sans GB"/>
    </w:rPr>
  </w:style>
  <w:style w:type="paragraph" w:styleId="21">
    <w:name w:val="List 2"/>
    <w:basedOn w:val="1"/>
    <w:unhideWhenUsed/>
    <w:uiPriority w:val="99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  <w:rPr>
      <w:rFonts w:ascii="Hiragino Sans GB" w:hAnsi="Hiragino Sans GB" w:eastAsia="Hiragino Sans GB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  <w:rPr>
      <w:rFonts w:ascii="Hiragino Sans GB" w:hAnsi="Hiragino Sans GB" w:eastAsia="Hiragino Sans GB"/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31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 w:ascii="Arial Unicode MS" w:hAnsi="Arial Unicode MS" w:eastAsia="Arial Unicode MS"/>
      <w:b/>
      <w:color w:val="000000"/>
      <w:spacing w:val="5"/>
      <w:kern w:val="28"/>
      <w:sz w:val="4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rFonts w:ascii="Hiragino Sans GB" w:hAnsi="Hiragino Sans GB" w:eastAsia="Hiragino Sans GB"/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rPr>
      <w:rFonts w:ascii="Hiragino Sans GB" w:hAnsi="Hiragino Sans GB" w:eastAsia="Hiragino Sans GB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Hiragino Sans GB" w:hAnsi="Hiragino Sans GB" w:eastAsia="Hiragino Sans GB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Hiragino Sans GB" w:hAnsi="Hiragino Sans GB" w:eastAsia="Hiragino Sans GB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Hiragino Sans GB" w:hAnsi="Hiragino Sans GB" w:eastAsia="Hiragino Sans GB"/>
      <w:b/>
      <w:bCs/>
    </w:rPr>
  </w:style>
  <w:style w:type="character" w:styleId="134">
    <w:name w:val="Emphasis"/>
    <w:basedOn w:val="132"/>
    <w:qFormat/>
    <w:uiPriority w:val="20"/>
    <w:rPr>
      <w:rFonts w:ascii="Hiragino Sans GB" w:hAnsi="Hiragino Sans GB" w:eastAsia="Hiragino Sans GB"/>
      <w:i/>
      <w:iCs/>
    </w:rPr>
  </w:style>
  <w:style w:type="character" w:customStyle="1" w:styleId="135">
    <w:name w:val="Header Char"/>
    <w:basedOn w:val="132"/>
    <w:link w:val="25"/>
    <w:uiPriority w:val="99"/>
    <w:rPr>
      <w:rFonts w:ascii="Hiragino Sans GB" w:hAnsi="Hiragino Sans GB" w:eastAsia="Hiragino Sans GB"/>
    </w:rPr>
  </w:style>
  <w:style w:type="character" w:customStyle="1" w:styleId="136">
    <w:name w:val="Footer Char"/>
    <w:basedOn w:val="132"/>
    <w:link w:val="24"/>
    <w:uiPriority w:val="99"/>
    <w:rPr>
      <w:rFonts w:ascii="Hiragino Sans GB" w:hAnsi="Hiragino Sans GB" w:eastAsia="Hiragino Sans GB"/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Hiragino Sans GB" w:hAnsi="Hiragino Sans GB" w:eastAsia="Hiragino Sans GB"/>
    </w:rPr>
  </w:style>
  <w:style w:type="character" w:customStyle="1" w:styleId="144">
    <w:name w:val="Body Text Char"/>
    <w:basedOn w:val="132"/>
    <w:link w:val="19"/>
    <w:uiPriority w:val="99"/>
    <w:rPr>
      <w:rFonts w:ascii="Hiragino Sans GB" w:hAnsi="Hiragino Sans GB" w:eastAsia="Hiragino Sans GB"/>
    </w:rPr>
  </w:style>
  <w:style w:type="character" w:customStyle="1" w:styleId="145">
    <w:name w:val="Body Text 2 Char"/>
    <w:basedOn w:val="132"/>
    <w:link w:val="28"/>
    <w:uiPriority w:val="99"/>
    <w:rPr>
      <w:rFonts w:ascii="Hiragino Sans GB" w:hAnsi="Hiragino Sans GB" w:eastAsia="Hiragino Sans GB"/>
    </w:rPr>
  </w:style>
  <w:style w:type="character" w:customStyle="1" w:styleId="146">
    <w:name w:val="Body Text 3 Char"/>
    <w:basedOn w:val="132"/>
    <w:link w:val="17"/>
    <w:uiPriority w:val="99"/>
    <w:rPr>
      <w:rFonts w:ascii="Hiragino Sans GB" w:hAnsi="Hiragino Sans GB" w:eastAsia="Hiragino Sans GB"/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Hiragino Sans GB" w:hAnsi="Hiragino Sans GB" w:eastAsia="Hiragino Sans GB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Hiragino Sans GB" w:hAnsi="Hiragino Sans GB" w:eastAsia="Hiragino Sans GB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rFonts w:ascii="Hiragino Sans GB" w:hAnsi="Hiragino Sans GB" w:eastAsia="Hiragino Sans GB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rFonts w:ascii="Hiragino Sans GB" w:hAnsi="Hiragino Sans GB" w:eastAsia="Hiragino Sans GB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rFonts w:ascii="Hiragino Sans GB" w:hAnsi="Hiragino Sans GB" w:eastAsia="Hiragino Sans GB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rFonts w:ascii="Hiragino Sans GB" w:hAnsi="Hiragino Sans GB" w:eastAsia="Hiragino Sans GB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rFonts w:ascii="Hiragino Sans GB" w:hAnsi="Hiragino Sans GB" w:eastAsia="Hiragino Sans GB"/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rFonts w:ascii="Hiragino Sans GB" w:hAnsi="Hiragino Sans GB" w:eastAsia="Hiragino Sans GB"/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rFonts w:ascii="Hiragino Sans GB" w:hAnsi="Hiragino Sans GB" w:eastAsia="Hiragino Sans GB"/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Hiragino Sans GB" w:hAnsi="Hiragino Sans GB" w:eastAsia="Hiragino Sans GB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479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坤石山应收款跟踪平台项目组</dc:creator>
  <dc:description>generated by python-docx</dc:description>
  <cp:lastModifiedBy>Cu</cp:lastModifiedBy>
  <dcterms:modified xsi:type="dcterms:W3CDTF">2026-08-12T16:20:37Z</dcterms:modified>
  <dc:subject>应收款制度、自动跟踪与角色分账考核规则</dc:subject>
  <dc:title>坤石山应收款管理制度及考核手册（财务评审稿）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6A1F77FBE0A2BB71D52C7C6AED93D2FF_43</vt:lpwstr>
  </property>
</Properties>
</file>